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sz w:val="32"/>
          <w:szCs w:val="32"/>
        </w:rPr>
      </w:pPr>
    </w:p>
    <w:p>
      <w:pPr>
        <w:jc w:val="center"/>
        <w:rPr>
          <w:rFonts w:ascii="楷体_GB2312" w:eastAsia="楷体_GB2312"/>
          <w:color w:val="000000"/>
          <w:sz w:val="32"/>
          <w:szCs w:val="32"/>
        </w:rPr>
      </w:pPr>
      <w:r>
        <w:rPr>
          <w:rFonts w:ascii="仿宋_GB2312" w:eastAsia="仿宋_GB2312"/>
          <w:sz w:val="32"/>
          <w:szCs w:val="32"/>
        </w:rPr>
        <w:pict>
          <v:shape id="_x0000_s1026" o:spid="_x0000_s1026" o:spt="136" type="#_x0000_t136" style="position:absolute;left:0pt;margin-left:8.6pt;margin-top:19.1pt;height:84.75pt;width:436.65pt;z-index:251667456;mso-width-relative:page;mso-height-relative:page;" fillcolor="#FF0000" filled="t" stroked="f" coordsize="21600,21600">
            <v:path/>
            <v:fill on="t" focussize="0,0"/>
            <v:stroke on="f"/>
            <v:imagedata o:title=""/>
            <o:lock v:ext="edit" text="f"/>
            <v:textpath on="t" fitshape="t" fitpath="t" trim="t" xscale="f" string="滕州市人民政府办公室文件" style="font-family:华文中宋;font-size:36pt;font-weight:bold;v-text-align:center;"/>
          </v:shape>
        </w:pict>
      </w:r>
    </w:p>
    <w:p>
      <w:pPr>
        <w:rPr>
          <w:rFonts w:ascii="楷体_GB2312" w:eastAsia="楷体_GB2312"/>
          <w:color w:val="000000"/>
          <w:sz w:val="32"/>
          <w:szCs w:val="32"/>
        </w:rPr>
      </w:pPr>
    </w:p>
    <w:p>
      <w:pPr>
        <w:rPr>
          <w:rFonts w:ascii="楷体_GB2312" w:eastAsia="楷体_GB2312"/>
          <w:color w:val="000000"/>
          <w:sz w:val="32"/>
          <w:szCs w:val="32"/>
        </w:rPr>
      </w:pPr>
    </w:p>
    <w:p>
      <w:pPr>
        <w:rPr>
          <w:rFonts w:ascii="楷体_GB2312" w:eastAsia="楷体_GB2312"/>
          <w:color w:val="000000"/>
          <w:sz w:val="32"/>
          <w:szCs w:val="32"/>
        </w:rPr>
      </w:pPr>
    </w:p>
    <w:p>
      <w:pPr>
        <w:rPr>
          <w:rFonts w:ascii="楷体_GB2312" w:eastAsia="楷体_GB2312"/>
          <w:color w:val="000000"/>
          <w:sz w:val="32"/>
          <w:szCs w:val="32"/>
        </w:rPr>
      </w:pPr>
    </w:p>
    <w:p>
      <w:pPr>
        <w:jc w:val="center"/>
        <w:rPr>
          <w:rFonts w:ascii="仿宋_GB2312" w:hAnsi="宋体" w:eastAsia="仿宋_GB2312"/>
          <w:sz w:val="32"/>
          <w:szCs w:val="32"/>
        </w:rPr>
      </w:pPr>
      <w:r>
        <w:rPr>
          <w:rFonts w:hint="eastAsia" w:ascii="仿宋_GB2312" w:hAnsi="宋体" w:eastAsia="仿宋_GB2312"/>
          <w:sz w:val="32"/>
          <w:szCs w:val="32"/>
        </w:rPr>
        <w:t>滕政办发〔2018〕68号</w:t>
      </w:r>
    </w:p>
    <w:p>
      <w:pPr>
        <w:jc w:val="center"/>
        <w:rPr>
          <w:rFonts w:ascii="楷体_GB2312" w:eastAsia="楷体_GB2312"/>
          <w:color w:val="000000"/>
          <w:sz w:val="32"/>
          <w:szCs w:val="32"/>
        </w:rPr>
      </w:pPr>
      <w:bookmarkStart w:id="0" w:name="_GoBack"/>
      <w:r>
        <w:rPr>
          <w:rFonts w:ascii="仿宋_GB2312" w:eastAsia="仿宋_GB2312"/>
          <w:sz w:val="32"/>
          <w:szCs w:val="32"/>
        </w:rPr>
        <mc:AlternateContent>
          <mc:Choice Requires="wps">
            <w:drawing>
              <wp:anchor distT="0" distB="0" distL="114300" distR="114300" simplePos="0" relativeHeight="251692032" behindDoc="0" locked="0" layoutInCell="1" allowOverlap="1">
                <wp:simplePos x="0" y="0"/>
                <wp:positionH relativeFrom="column">
                  <wp:posOffset>273685</wp:posOffset>
                </wp:positionH>
                <wp:positionV relativeFrom="paragraph">
                  <wp:posOffset>104775</wp:posOffset>
                </wp:positionV>
                <wp:extent cx="5143500" cy="635"/>
                <wp:effectExtent l="0" t="0" r="0" b="0"/>
                <wp:wrapNone/>
                <wp:docPr id="8" name="直接连接符 8"/>
                <wp:cNvGraphicFramePr/>
                <a:graphic xmlns:a="http://schemas.openxmlformats.org/drawingml/2006/main">
                  <a:graphicData uri="http://schemas.microsoft.com/office/word/2010/wordprocessingShape">
                    <wps:wsp>
                      <wps:cNvCnPr/>
                      <wps:spPr>
                        <a:xfrm>
                          <a:off x="1276350" y="3996690"/>
                          <a:ext cx="5143500"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55pt;margin-top:8.25pt;height:0.05pt;width:405pt;z-index:251692032;mso-width-relative:page;mso-height-relative:page;" filled="f" stroked="t" coordsize="21600,21600" o:gfxdata="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qs&#10;n3XVAAAACAEAAA8AAAAAAAAAAQAgAAAAIgAAAGRycy9kb3ducmV2LnhtbFBLAQIUABQAAAAIAIdO&#10;4kAmbeN57QEAALMDAAAOAAAAAAAAAAEAIAAAACQBAABkcnMvZTJvRG9jLnhtbFBLBQYAAAAABgAG&#10;AFkBAACDBQAAAAA=&#10;">
                <v:path arrowok="t"/>
                <v:fill on="f" focussize="0,0"/>
                <v:stroke weight="2.25pt" color="#FF0000" joinstyle="round"/>
                <v:imagedata o:title=""/>
                <o:lock v:ext="edit" aspectratio="f"/>
              </v:line>
            </w:pict>
          </mc:Fallback>
        </mc:AlternateContent>
      </w:r>
      <w:bookmarkEnd w:id="0"/>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滕州市人民政府办公室</w:t>
      </w: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关于印发《滕州市2018年雨季造林工作</w:t>
      </w: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实施方案》的通知</w:t>
      </w:r>
    </w:p>
    <w:p>
      <w:pPr>
        <w:rPr>
          <w:rFonts w:ascii="仿宋_GB2312" w:hAnsi="宋体" w:eastAsia="仿宋_GB2312"/>
          <w:sz w:val="32"/>
          <w:szCs w:val="32"/>
        </w:rPr>
      </w:pPr>
    </w:p>
    <w:p>
      <w:pPr>
        <w:rPr>
          <w:rFonts w:ascii="仿宋_GB2312" w:hAnsi="宋体" w:eastAsia="仿宋_GB2312"/>
          <w:sz w:val="32"/>
          <w:szCs w:val="32"/>
        </w:rPr>
      </w:pPr>
      <w:r>
        <w:rPr>
          <w:rFonts w:ascii="方正大标宋简体" w:eastAsia="方正大标宋简体"/>
          <w:color w:val="FF0000"/>
          <w:spacing w:val="-8"/>
          <w:sz w:val="36"/>
          <w:szCs w:val="36"/>
        </w:rPr>
        <mc:AlternateContent>
          <mc:Choice Requires="wps">
            <w:drawing>
              <wp:anchor distT="0" distB="0" distL="114300" distR="114300" simplePos="0" relativeHeight="251658240" behindDoc="0" locked="0" layoutInCell="1" allowOverlap="1">
                <wp:simplePos x="0" y="0"/>
                <wp:positionH relativeFrom="column">
                  <wp:posOffset>6625590</wp:posOffset>
                </wp:positionH>
                <wp:positionV relativeFrom="paragraph">
                  <wp:posOffset>731520</wp:posOffset>
                </wp:positionV>
                <wp:extent cx="904875" cy="66675"/>
                <wp:effectExtent l="635" t="9525" r="889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H="1" flipV="1">
                          <a:off x="0" y="0"/>
                          <a:ext cx="904875" cy="66675"/>
                        </a:xfrm>
                        <a:prstGeom prst="line">
                          <a:avLst/>
                        </a:prstGeom>
                        <a:noFill/>
                        <a:ln w="19050">
                          <a:solidFill>
                            <a:srgbClr val="FF0000"/>
                          </a:solidFill>
                          <a:round/>
                        </a:ln>
                      </wps:spPr>
                      <wps:bodyPr/>
                    </wps:wsp>
                  </a:graphicData>
                </a:graphic>
              </wp:anchor>
            </w:drawing>
          </mc:Choice>
          <mc:Fallback>
            <w:pict>
              <v:line id="_x0000_s1026" o:spid="_x0000_s1026" o:spt="20" style="position:absolute;left:0pt;flip:x y;margin-left:521.7pt;margin-top:57.6pt;height:5.25pt;width:71.25pt;z-index:251658240;mso-width-relative:page;mso-height-relative:page;" filled="f" stroked="t" coordsize="21600,21600" o:gfxdata="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zT3UHYAAAADQEAAA8AAAAAAAAA&#10;AQAgAAAAIgAAAGRycy9kb3ducmV2LnhtbFBLAQIUABQAAAAIAIdO4kBEC2CC2AEAAHQDAAAOAAAA&#10;AAAAAAEAIAAAACcBAABkcnMvZTJvRG9jLnhtbFBLBQYAAAAABgAGAFkBAABxBQAAAAA=&#10;">
                <v:fill on="f" focussize="0,0"/>
                <v:stroke weight="1.5pt" color="#FF0000" joinstyle="round"/>
                <v:imagedata o:title=""/>
                <o:lock v:ext="edit" aspectratio="f"/>
              </v:line>
            </w:pict>
          </mc:Fallback>
        </mc:AlternateContent>
      </w:r>
      <w:r>
        <w:rPr>
          <w:rFonts w:hint="eastAsia" w:ascii="仿宋_GB2312" w:hAnsi="宋体" w:eastAsia="仿宋_GB2312"/>
          <w:sz w:val="32"/>
          <w:szCs w:val="32"/>
        </w:rPr>
        <w:t>各镇人民政府、街道办事处，滕州经济开发区管委会，市政府有关部门，各企事业单位：</w:t>
      </w:r>
    </w:p>
    <w:p>
      <w:pPr>
        <w:rPr>
          <w:rFonts w:ascii="仿宋_GB2312" w:eastAsia="仿宋_GB2312"/>
          <w:sz w:val="32"/>
          <w:szCs w:val="32"/>
        </w:rPr>
      </w:pPr>
      <w:r>
        <w:rPr>
          <w:rFonts w:hint="eastAsia" w:ascii="仿宋_GB2312" w:hAnsi="宋体" w:eastAsia="仿宋_GB2312"/>
          <w:sz w:val="32"/>
          <w:szCs w:val="32"/>
        </w:rPr>
        <w:t xml:space="preserve">    《</w:t>
      </w:r>
      <w:r>
        <w:rPr>
          <w:rFonts w:hint="eastAsia" w:ascii="仿宋_GB2312" w:eastAsia="仿宋_GB2312"/>
          <w:sz w:val="32"/>
          <w:szCs w:val="32"/>
        </w:rPr>
        <w:t>滕州市2018年雨季造林工作实施方案》已经市政府同意，现印发给你们，请认真组织实施。</w:t>
      </w:r>
    </w:p>
    <w:p>
      <w:pPr>
        <w:rPr>
          <w:rFonts w:ascii="仿宋_GB2312" w:hAnsi="宋体" w:eastAsia="仿宋_GB2312"/>
          <w:sz w:val="32"/>
          <w:szCs w:val="32"/>
        </w:rPr>
      </w:pPr>
    </w:p>
    <w:p>
      <w:pPr>
        <w:jc w:val="center"/>
        <w:rPr>
          <w:rFonts w:ascii="仿宋_GB2312" w:hAnsi="宋体" w:eastAsia="仿宋_GB2312"/>
          <w:sz w:val="32"/>
          <w:szCs w:val="32"/>
        </w:rPr>
      </w:pPr>
    </w:p>
    <w:p>
      <w:pPr>
        <w:ind w:firstLine="4320" w:firstLineChars="1350"/>
        <w:jc w:val="center"/>
        <w:rPr>
          <w:rFonts w:ascii="仿宋_GB2312" w:eastAsia="仿宋_GB2312"/>
          <w:sz w:val="32"/>
          <w:szCs w:val="32"/>
        </w:rPr>
      </w:pPr>
      <w:r>
        <w:rPr>
          <w:rFonts w:hint="eastAsia" w:ascii="仿宋_GB2312" w:eastAsia="仿宋_GB2312"/>
          <w:sz w:val="32"/>
          <w:szCs w:val="32"/>
        </w:rPr>
        <w:t>滕州市人民政府办公室</w:t>
      </w:r>
    </w:p>
    <w:p>
      <w:pPr>
        <w:ind w:firstLine="4320" w:firstLineChars="1350"/>
        <w:jc w:val="center"/>
        <w:rPr>
          <w:rFonts w:ascii="仿宋_GB2312" w:eastAsia="仿宋_GB2312"/>
          <w:sz w:val="32"/>
          <w:szCs w:val="32"/>
        </w:rPr>
      </w:pPr>
      <w:r>
        <w:rPr>
          <w:rFonts w:hint="eastAsia" w:ascii="仿宋_GB2312" w:eastAsia="仿宋_GB2312"/>
          <w:sz w:val="32"/>
          <w:szCs w:val="32"/>
        </w:rPr>
        <w:t>2018年7月1日</w:t>
      </w:r>
    </w:p>
    <w:p>
      <w:pPr>
        <w:rPr>
          <w:rFonts w:ascii="方正小标宋_GBK" w:eastAsia="方正小标宋_GBK"/>
          <w:sz w:val="32"/>
          <w:szCs w:val="32"/>
        </w:rPr>
      </w:pPr>
    </w:p>
    <w:p>
      <w:pPr>
        <w:jc w:val="center"/>
        <w:rPr>
          <w:rFonts w:ascii="方正小标宋_GBK" w:eastAsia="方正小标宋_GBK"/>
          <w:sz w:val="44"/>
          <w:szCs w:val="44"/>
        </w:rPr>
        <w:sectPr>
          <w:footerReference r:id="rId3" w:type="default"/>
          <w:footerReference r:id="rId4" w:type="even"/>
          <w:pgSz w:w="11906" w:h="16838"/>
          <w:pgMar w:top="1701" w:right="1418" w:bottom="1701" w:left="1701" w:header="851" w:footer="1304" w:gutter="0"/>
          <w:pgNumType w:fmt="numberInDash"/>
          <w:cols w:space="720" w:num="1"/>
          <w:docGrid w:type="lines" w:linePitch="312" w:charSpace="0"/>
        </w:sectPr>
      </w:pPr>
    </w:p>
    <w:p>
      <w:pPr>
        <w:spacing w:line="700" w:lineRule="exact"/>
        <w:jc w:val="center"/>
        <w:rPr>
          <w:rFonts w:ascii="方正小标宋简体" w:eastAsia="方正小标宋简体"/>
          <w:sz w:val="44"/>
          <w:szCs w:val="44"/>
        </w:rPr>
      </w:pP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滕州市2018年雨季造林工作实施方案</w:t>
      </w:r>
    </w:p>
    <w:p>
      <w: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为深入推进“四绿”工程建设，进一步扩大荒山造林面积，实现森林面积和森林蓄积量“双增”目标，为成功创建国家森林城市奠定基础，现就2018年雨季造林工作，制定如下实施方案。</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一、指导思想</w:t>
      </w:r>
    </w:p>
    <w:p>
      <w:pPr>
        <w:widowControl/>
        <w:spacing w:line="560" w:lineRule="exact"/>
        <w:ind w:firstLine="640" w:firstLineChars="200"/>
        <w:jc w:val="left"/>
        <w:rPr>
          <w:rFonts w:ascii="仿宋_GB2312" w:eastAsia="仿宋_GB2312"/>
          <w:sz w:val="32"/>
          <w:szCs w:val="32"/>
        </w:rPr>
      </w:pPr>
      <w:r>
        <w:rPr>
          <w:rFonts w:hint="eastAsia" w:ascii="仿宋_GB2312" w:eastAsia="仿宋_GB2312"/>
          <w:color w:val="000000"/>
          <w:sz w:val="32"/>
          <w:szCs w:val="32"/>
        </w:rPr>
        <w:t>以党的十九大精神为统领，以习近平新时代中国特色社会主义思想为指导，坚持分类经营、突出重点、注重规模、打造精品、强化标准、严格验收的原则，大力实施“四绿”工程，全面推进雨季造林工作的开展，</w:t>
      </w:r>
      <w:r>
        <w:rPr>
          <w:rFonts w:hint="eastAsia" w:ascii="仿宋_GB2312" w:eastAsia="仿宋_GB2312"/>
          <w:sz w:val="32"/>
          <w:szCs w:val="32"/>
        </w:rPr>
        <w:t>确保全面完成全年造林绿化及重点工程建设任务，全面实现《滕州市国家森林城市建设总体规划》确定的近期目标。</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二、目标任务</w:t>
      </w:r>
    </w:p>
    <w:p>
      <w:pPr>
        <w:spacing w:line="560" w:lineRule="exact"/>
        <w:ind w:firstLine="627" w:firstLineChars="196"/>
        <w:rPr>
          <w:rFonts w:ascii="仿宋_GB2312" w:hAnsi="华文中宋" w:eastAsia="仿宋_GB2312"/>
          <w:sz w:val="32"/>
          <w:szCs w:val="32"/>
        </w:rPr>
      </w:pPr>
      <w:r>
        <w:rPr>
          <w:rFonts w:hint="eastAsia" w:ascii="仿宋_GB2312" w:hAnsi="ˎ̥" w:eastAsia="仿宋_GB2312"/>
          <w:color w:val="000000"/>
          <w:sz w:val="32"/>
          <w:szCs w:val="32"/>
        </w:rPr>
        <w:t>重点实施2016年长防林补植提升，2017、2018年中央预算内投资长防林项目建设，确保完成荒山造林</w:t>
      </w:r>
      <w:r>
        <w:rPr>
          <w:rFonts w:hint="eastAsia" w:ascii="仿宋_GB2312" w:hAnsi="ˎ̥" w:eastAsia="仿宋_GB2312"/>
          <w:color w:val="000000" w:themeColor="text1"/>
          <w:sz w:val="32"/>
          <w:szCs w:val="32"/>
          <w14:textFill>
            <w14:solidFill>
              <w14:schemeClr w14:val="tx1"/>
            </w14:solidFill>
          </w14:textFill>
        </w:rPr>
        <w:t>11404</w:t>
      </w:r>
      <w:r>
        <w:rPr>
          <w:rFonts w:hint="eastAsia" w:ascii="仿宋_GB2312" w:hAnsi="ˎ̥" w:eastAsia="仿宋_GB2312"/>
          <w:color w:val="000000"/>
          <w:sz w:val="32"/>
          <w:szCs w:val="32"/>
        </w:rPr>
        <w:t>亩。对市级重点工程、镇街精品工程以及2017年中央财政森林抚育项目中抚育方式为补植的项目区进行再补植、再提升，同时围绕国家森林城市检查验收现场、线路进行集中攻坚，确保国家森林城市创建工作顺利通过验收</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三、建设标准</w:t>
      </w:r>
    </w:p>
    <w:p>
      <w:pPr>
        <w:spacing w:line="560" w:lineRule="exact"/>
        <w:ind w:firstLine="640" w:firstLineChars="200"/>
        <w:rPr>
          <w:rFonts w:ascii="楷体_GB2312" w:hAnsi="黑体" w:eastAsia="楷体_GB2312"/>
          <w:sz w:val="32"/>
          <w:szCs w:val="32"/>
        </w:rPr>
      </w:pPr>
      <w:r>
        <w:rPr>
          <w:rFonts w:hint="eastAsia" w:ascii="楷体_GB2312" w:hAnsi="黑体" w:eastAsia="楷体_GB2312"/>
          <w:b/>
          <w:sz w:val="32"/>
          <w:szCs w:val="32"/>
        </w:rPr>
        <w:t>（一）荒山造林工程。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提前细致整地。整地时宜采用返坡深穴整地，穴深40厘米见方；表土回填在穴下面，生土覆于表层，注意清除土中的石砾、草根等杂物，并使穴面呈外高里低的返坡，然后垒好穴堰，以便蓄水保墒。应尽可能减少破土面积，保护好树穴间的植被，以防“跑墒”和暴风雨时引起水土流失。</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选择适宜的树种。适合我市荒山雨季造林的树种主要有松柏类针叶树种和萌芽力较强的阔叶树种；青石山宜选用侧柏、黄栌、黄连木、元宝枫等，砂石山可选黑松、油松、麻栎、黄栌、元宝枫等；山丘梯田、地堰可选元宝枫、核桃、花椒等经济树种。栽植花椒、刺槐、黄栌等要采取截干造林。风景旅游区荒山造林以常青绿化树种为主，非经济林疏林地补植以彩叶树种为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3.栽植要求。严格苗木标准，针叶树采用高度60㎝以上的容器苗，阔叶树采用高度30</w:t>
      </w:r>
      <w:r>
        <w:rPr>
          <w:rFonts w:hint="eastAsia" w:ascii="宋体" w:hAnsi="宋体" w:cs="宋体"/>
          <w:sz w:val="32"/>
          <w:szCs w:val="32"/>
        </w:rPr>
        <w:t>㎝</w:t>
      </w:r>
      <w:r>
        <w:rPr>
          <w:rFonts w:hint="eastAsia" w:ascii="仿宋_GB2312" w:eastAsia="仿宋_GB2312"/>
          <w:sz w:val="32"/>
          <w:szCs w:val="32"/>
        </w:rPr>
        <w:t>以上的容器苗。造林苗木要求根系发达、顶芽健壮、无病虫害和机械损伤，栽后要培土、踏实树穴，然后覆盖干枯的杂草、树叶或石块，以保护穴面，减少土壤水分蒸发。要尽量缩短从起苗到栽植的时间，减少苗木失水，提高造林成活率。青石山区防护林造林密度220株/亩;砂石山区防护林造林密度160株/亩为宜。具备条件的区域，可推行直播造林技术。</w:t>
      </w:r>
    </w:p>
    <w:p>
      <w:pPr>
        <w:spacing w:line="560" w:lineRule="exact"/>
        <w:ind w:firstLine="640" w:firstLineChars="200"/>
        <w:rPr>
          <w:rFonts w:ascii="楷体_GB2312" w:hAnsi="黑体" w:eastAsia="楷体_GB2312"/>
          <w:b/>
          <w:sz w:val="32"/>
          <w:szCs w:val="32"/>
        </w:rPr>
      </w:pPr>
      <w:r>
        <w:rPr>
          <w:rFonts w:hint="eastAsia" w:ascii="楷体_GB2312" w:hAnsi="黑体" w:eastAsia="楷体_GB2312"/>
          <w:b/>
          <w:sz w:val="32"/>
          <w:szCs w:val="32"/>
        </w:rPr>
        <w:t>（二）其他造林工程。</w:t>
      </w:r>
    </w:p>
    <w:p>
      <w:pPr>
        <w:spacing w:line="560" w:lineRule="exact"/>
        <w:ind w:firstLine="640" w:firstLineChars="200"/>
        <w:rPr>
          <w:rFonts w:ascii="仿宋_GB2312" w:eastAsia="仿宋_GB2312"/>
          <w:sz w:val="32"/>
          <w:szCs w:val="32"/>
        </w:rPr>
      </w:pPr>
      <w:r>
        <w:rPr>
          <w:rFonts w:hint="eastAsia" w:ascii="仿宋_GB2312" w:hAnsi="ˎ̥" w:eastAsia="仿宋_GB2312"/>
          <w:color w:val="000000"/>
          <w:sz w:val="32"/>
          <w:szCs w:val="32"/>
        </w:rPr>
        <w:t>各镇街及有关单位要积极组织人员对本单位承担的绿色城镇、绿色乡村、绿色青山、绿色交通干线“四绿”工程及其他市级重点工程进行排查摸底，全面掌握各小班造林情况，对未完成造林任务或造林成活率低于90%的必须进行补植补造，特别是城区主干道、重要节点绿化树木成活率要达到95%以上。绿化苗木要带土球栽植，及时进行整形修剪。新栽高大树木要设支架或埋桩拉线进行固定。栽后要整出树盘，浇足三遍水。高大树木移栽后因蒸腾作用而失水，必须及时遮荫或喷水保湿，为树体提供湿润的小气候。</w:t>
      </w:r>
      <w:r>
        <w:rPr>
          <w:rFonts w:hint="eastAsia" w:ascii="仿宋_GB2312" w:hAnsi="仿宋_GB2312" w:eastAsia="仿宋_GB2312" w:cs="仿宋_GB2312"/>
          <w:color w:val="000000"/>
          <w:sz w:val="32"/>
          <w:szCs w:val="32"/>
        </w:rPr>
        <w:t></w:t>
      </w:r>
      <w:r>
        <w:rPr>
          <w:rFonts w:hint="eastAsia" w:ascii="仿宋_GB2312" w:eastAsia="仿宋_GB2312"/>
          <w:color w:val="000000"/>
          <w:sz w:val="32"/>
          <w:szCs w:val="32"/>
        </w:rPr>
        <w:t xml:space="preserve"> </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四、造林时间</w:t>
      </w:r>
    </w:p>
    <w:p>
      <w:pPr>
        <w:spacing w:line="560" w:lineRule="exact"/>
        <w:ind w:firstLine="640" w:firstLineChars="200"/>
        <w:rPr>
          <w:rFonts w:ascii="仿宋_GB2312" w:eastAsia="仿宋_GB2312"/>
          <w:sz w:val="32"/>
          <w:szCs w:val="32"/>
        </w:rPr>
      </w:pPr>
      <w:r>
        <w:rPr>
          <w:rFonts w:hint="eastAsia" w:ascii="楷体_GB2312" w:hAnsi="黑体" w:eastAsia="楷体_GB2312"/>
          <w:b/>
          <w:sz w:val="32"/>
          <w:szCs w:val="32"/>
        </w:rPr>
        <w:t>（一）时间要求</w:t>
      </w:r>
      <w:r>
        <w:rPr>
          <w:rFonts w:hint="eastAsia" w:ascii="楷体_GB2312" w:eastAsia="楷体_GB2312"/>
          <w:b/>
          <w:sz w:val="32"/>
          <w:szCs w:val="32"/>
        </w:rPr>
        <w:t>。</w:t>
      </w:r>
      <w:r>
        <w:rPr>
          <w:rFonts w:hint="eastAsia" w:ascii="仿宋_GB2312" w:eastAsia="仿宋_GB2312"/>
          <w:sz w:val="32"/>
          <w:szCs w:val="32"/>
        </w:rPr>
        <w:t>7月上旬——8月底。</w:t>
      </w:r>
    </w:p>
    <w:p>
      <w:pPr>
        <w:spacing w:line="560" w:lineRule="exact"/>
        <w:ind w:firstLine="640" w:firstLineChars="200"/>
        <w:rPr>
          <w:rFonts w:ascii="仿宋_GB2312" w:eastAsia="仿宋_GB2312"/>
          <w:sz w:val="32"/>
          <w:szCs w:val="32"/>
        </w:rPr>
      </w:pPr>
      <w:r>
        <w:rPr>
          <w:rFonts w:hint="eastAsia" w:ascii="楷体_GB2312" w:hAnsi="黑体" w:eastAsia="楷体_GB2312"/>
          <w:b/>
          <w:sz w:val="32"/>
          <w:szCs w:val="32"/>
        </w:rPr>
        <w:t>（二）造林时机选择。</w:t>
      </w:r>
      <w:r>
        <w:rPr>
          <w:rFonts w:hint="eastAsia" w:ascii="仿宋_GB2312" w:eastAsia="仿宋_GB2312"/>
          <w:sz w:val="32"/>
          <w:szCs w:val="32"/>
        </w:rPr>
        <w:t>加强与气象部门的联系，密切注意天气变化，把握适宜的造林时机。进入雨季后，下过一两场透地雨，然后天气连阴，此时造林成活率最高，是最适宜的造林时机。</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五、实施步骤</w:t>
      </w:r>
    </w:p>
    <w:p>
      <w:pPr>
        <w:spacing w:line="560" w:lineRule="exact"/>
        <w:ind w:firstLine="627" w:firstLineChars="196"/>
        <w:rPr>
          <w:rFonts w:ascii="仿宋_GB2312" w:eastAsia="仿宋_GB2312"/>
          <w:sz w:val="32"/>
          <w:szCs w:val="32"/>
        </w:rPr>
      </w:pPr>
      <w:r>
        <w:rPr>
          <w:rFonts w:hint="eastAsia" w:ascii="楷体_GB2312" w:hAnsi="黑体" w:eastAsia="楷体_GB2312"/>
          <w:b/>
          <w:sz w:val="32"/>
          <w:szCs w:val="32"/>
        </w:rPr>
        <w:t>（一）组织发动（6月上旬-6月下旬）。</w:t>
      </w:r>
      <w:r>
        <w:rPr>
          <w:rFonts w:hint="eastAsia" w:ascii="仿宋_GB2312" w:eastAsia="仿宋_GB2312"/>
          <w:sz w:val="32"/>
          <w:szCs w:val="32"/>
        </w:rPr>
        <w:t>分解落实雨季造林任务，明确重点工程，制定下发2018年雨季造林工作实施方案，利用报纸、电视台、电台、网络等形式进行创建活动宣传，做到家喻户晓，人人参与。</w:t>
      </w:r>
    </w:p>
    <w:p>
      <w:pPr>
        <w:spacing w:line="560" w:lineRule="exact"/>
        <w:ind w:firstLine="627" w:firstLineChars="196"/>
        <w:rPr>
          <w:rFonts w:ascii="仿宋_GB2312" w:eastAsia="仿宋_GB2312"/>
          <w:sz w:val="32"/>
          <w:szCs w:val="32"/>
        </w:rPr>
      </w:pPr>
      <w:r>
        <w:rPr>
          <w:rFonts w:hint="eastAsia" w:ascii="楷体_GB2312" w:hAnsi="黑体" w:eastAsia="楷体_GB2312"/>
          <w:b/>
          <w:sz w:val="32"/>
          <w:szCs w:val="32"/>
        </w:rPr>
        <w:t>（二）造林准备（6月下旬-7月初）。</w:t>
      </w:r>
      <w:r>
        <w:rPr>
          <w:rFonts w:hint="eastAsia" w:ascii="仿宋_GB2312" w:eastAsia="仿宋_GB2312"/>
          <w:sz w:val="32"/>
          <w:szCs w:val="32"/>
        </w:rPr>
        <w:t>对本单位承担的造林任务，要提前签订造林合同和管护合同，合同内容要涉及整地挖坑、苗木质量、栽植标准、管护措施等各个环节。各中标单位要提前筹措造林资金、定购造林苗木，组织好造林专业队伍提前开挖树坑，以缩短栽植时间，确保一旦雨季来临，迅速完成造林任务。</w:t>
      </w:r>
    </w:p>
    <w:p>
      <w:pPr>
        <w:spacing w:line="560" w:lineRule="exact"/>
        <w:ind w:firstLine="627" w:firstLineChars="196"/>
        <w:rPr>
          <w:rFonts w:ascii="仿宋_GB2312" w:eastAsia="仿宋_GB2312"/>
          <w:sz w:val="32"/>
          <w:szCs w:val="32"/>
        </w:rPr>
      </w:pPr>
      <w:r>
        <w:rPr>
          <w:rFonts w:hint="eastAsia" w:ascii="楷体_GB2312" w:hAnsi="黑体" w:eastAsia="楷体_GB2312"/>
          <w:b/>
          <w:sz w:val="32"/>
          <w:szCs w:val="32"/>
        </w:rPr>
        <w:t>（三）造林实施（7月上旬-12月中旬）。</w:t>
      </w:r>
      <w:r>
        <w:rPr>
          <w:rFonts w:hint="eastAsia" w:ascii="仿宋_GB2312" w:eastAsia="仿宋_GB2312"/>
          <w:sz w:val="32"/>
          <w:szCs w:val="32"/>
        </w:rPr>
        <w:t>造林工程队负责各自承担造林任务的实施，严格按照作业设计、合同规定的密度、规格完成造林计划，落实浇水、培土、扶苗等抚育措施，提高苗木成活率。</w:t>
      </w:r>
    </w:p>
    <w:p>
      <w:pPr>
        <w:spacing w:line="560" w:lineRule="exact"/>
        <w:ind w:firstLine="627" w:firstLineChars="196"/>
        <w:rPr>
          <w:rFonts w:ascii="仿宋_GB2312" w:eastAsia="仿宋_GB2312"/>
          <w:sz w:val="32"/>
          <w:szCs w:val="32"/>
        </w:rPr>
      </w:pPr>
      <w:r>
        <w:rPr>
          <w:rFonts w:hint="eastAsia" w:ascii="楷体_GB2312" w:hAnsi="黑体" w:eastAsia="楷体_GB2312"/>
          <w:b/>
          <w:sz w:val="32"/>
          <w:szCs w:val="32"/>
        </w:rPr>
        <w:t>（四）核查验收（12月底）。</w:t>
      </w:r>
      <w:r>
        <w:rPr>
          <w:rFonts w:hint="eastAsia" w:ascii="仿宋_GB2312" w:eastAsia="仿宋_GB2312"/>
          <w:sz w:val="32"/>
          <w:szCs w:val="32"/>
        </w:rPr>
        <w:t>市林业局在各单位自查的基础上，联合财政部门对雨季造林进行检查验收，验收结果作为资金兑付和年底综合考核的依据，第二年年底进行复查，兑现剩余资金。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六、保障措施</w:t>
      </w:r>
    </w:p>
    <w:p>
      <w:pPr>
        <w:spacing w:line="560" w:lineRule="exact"/>
        <w:ind w:firstLine="640" w:firstLineChars="200"/>
        <w:rPr>
          <w:rFonts w:ascii="仿宋_GB2312" w:eastAsia="仿宋_GB2312"/>
          <w:sz w:val="32"/>
          <w:szCs w:val="32"/>
        </w:rPr>
      </w:pPr>
      <w:r>
        <w:rPr>
          <w:rFonts w:hint="eastAsia" w:ascii="楷体_GB2312" w:hAnsi="黑体" w:eastAsia="楷体_GB2312"/>
          <w:b/>
          <w:sz w:val="32"/>
          <w:szCs w:val="32"/>
        </w:rPr>
        <w:t>（一）明确任务，落实责任。</w:t>
      </w:r>
      <w:r>
        <w:rPr>
          <w:rFonts w:hint="eastAsia" w:ascii="仿宋_GB2312" w:hAnsi="ˎ̥" w:eastAsia="仿宋_GB2312"/>
          <w:bCs/>
          <w:color w:val="000000"/>
          <w:sz w:val="32"/>
          <w:szCs w:val="32"/>
        </w:rPr>
        <w:t>各镇街要根据滕发</w:t>
      </w:r>
      <w:r>
        <w:rPr>
          <w:rFonts w:hint="eastAsia" w:ascii="仿宋_GB2312" w:hAnsi="宋体" w:eastAsia="仿宋_GB2312"/>
          <w:sz w:val="32"/>
          <w:szCs w:val="32"/>
        </w:rPr>
        <w:t>〔2018〕</w:t>
      </w:r>
      <w:r>
        <w:rPr>
          <w:rFonts w:hint="eastAsia" w:ascii="仿宋_GB2312" w:hAnsi="ˎ̥" w:eastAsia="仿宋_GB2312"/>
          <w:bCs/>
          <w:color w:val="000000"/>
          <w:sz w:val="32"/>
          <w:szCs w:val="32"/>
        </w:rPr>
        <w:t>11号文件下达的造林绿化任务，对照春季完成任务情况，认真制定本单位雨季造林工作计划，筹措资金、落实地块、定购苗木、确定工程队，确保完成全年创森任务</w:t>
      </w:r>
      <w:r>
        <w:rPr>
          <w:rFonts w:hint="eastAsia" w:ascii="仿宋_GB2312" w:eastAsia="仿宋_GB2312"/>
          <w:sz w:val="32"/>
          <w:szCs w:val="32"/>
        </w:rPr>
        <w:t>。对2017、2018年度市统一招标实施的长防林，各项目镇要强化责任意识，履行监督职责，搞好技术指导和协调，适时调度项目进展情况，确保项目顺利实施。对2016年度长防林，要认真做好补植补造工作，确保项目建设任务全面完成。</w:t>
      </w:r>
    </w:p>
    <w:p>
      <w:pPr>
        <w:spacing w:line="560" w:lineRule="exact"/>
        <w:ind w:firstLine="640" w:firstLineChars="200"/>
        <w:rPr>
          <w:rFonts w:ascii="仿宋_GB2312" w:eastAsia="仿宋_GB2312"/>
          <w:sz w:val="32"/>
          <w:szCs w:val="32"/>
        </w:rPr>
      </w:pPr>
      <w:r>
        <w:rPr>
          <w:rFonts w:hint="eastAsia" w:ascii="楷体_GB2312" w:hAnsi="黑体" w:eastAsia="楷体_GB2312"/>
          <w:b/>
          <w:sz w:val="32"/>
          <w:szCs w:val="32"/>
        </w:rPr>
        <w:t>（二）创新机制，提高造林成效。</w:t>
      </w:r>
      <w:r>
        <w:rPr>
          <w:rFonts w:hint="eastAsia" w:ascii="仿宋_GB2312" w:eastAsia="仿宋_GB2312"/>
          <w:sz w:val="32"/>
          <w:szCs w:val="32"/>
        </w:rPr>
        <w:t>各镇要积极探索造林新机制，探索建立镇属营造林专业工程队（合作社），鼓励企业或大户投资造林绿化。大力推行工程造林，采取统一规划设计、统一组建造林专业队伍、统一供应苗木、统一整地栽植、统一技术标准、统一抚育管护、统一验收奖惩等措施，扎实开展雨季造林工作。</w:t>
      </w:r>
    </w:p>
    <w:p>
      <w:pPr>
        <w:spacing w:line="560" w:lineRule="exact"/>
        <w:ind w:firstLine="627" w:firstLineChars="196"/>
        <w:rPr>
          <w:rFonts w:ascii="仿宋_GB2312" w:eastAsia="仿宋_GB2312"/>
          <w:sz w:val="32"/>
          <w:szCs w:val="32"/>
        </w:rPr>
      </w:pPr>
      <w:r>
        <w:rPr>
          <w:rFonts w:hint="eastAsia" w:ascii="楷体_GB2312" w:hAnsi="黑体" w:eastAsia="楷体_GB2312"/>
          <w:b/>
          <w:sz w:val="32"/>
          <w:szCs w:val="32"/>
        </w:rPr>
        <w:t>（三）加强督查，确保造林进度和质量。</w:t>
      </w:r>
      <w:r>
        <w:rPr>
          <w:rFonts w:hint="eastAsia" w:ascii="仿宋_GB2312" w:eastAsia="仿宋_GB2312"/>
          <w:sz w:val="32"/>
          <w:szCs w:val="32"/>
        </w:rPr>
        <w:t>市创森办将成立督查组对各单位雨季造林进度、质量进行现场督查，重点督查各单位任务落实和重点工程的造林完成情况、造林组织形式、苗木准备情况、工作特色和采取的主要措施，并定期向市委、市政府主要领导报送督查情况和造林进度。辖区内有长防林项目或雨季造林任务的镇，自7月10日起每周一上午12:00前向市创森办上报雨季造林工作进度（tzsccb@163.com）。市创森办将根据进度上报和督导情况进行通报。</w:t>
      </w:r>
      <w:r>
        <w:rPr>
          <w:rFonts w:hint="eastAsia" w:ascii="仿宋_GB2312" w:hAnsi="仿宋_GB2312" w:eastAsia="仿宋_GB2312" w:cs="仿宋_GB2312"/>
          <w:sz w:val="32"/>
          <w:szCs w:val="32"/>
        </w:rPr>
        <w:t></w:t>
      </w:r>
    </w:p>
    <w:p>
      <w:pPr>
        <w:spacing w:line="560" w:lineRule="exact"/>
        <w:ind w:firstLine="640" w:firstLineChars="200"/>
        <w:rPr>
          <w:rFonts w:ascii="仿宋_GB2312" w:eastAsia="仿宋_GB2312"/>
          <w:sz w:val="32"/>
          <w:szCs w:val="32"/>
        </w:rPr>
      </w:pPr>
    </w:p>
    <w:p>
      <w:pPr>
        <w:ind w:left="1598" w:leftChars="304" w:hanging="960" w:hangingChars="300"/>
        <w:rPr>
          <w:rFonts w:ascii="仿宋_GB2312" w:eastAsia="仿宋_GB2312"/>
          <w:sz w:val="32"/>
          <w:szCs w:val="32"/>
        </w:rPr>
      </w:pPr>
      <w:r>
        <w:rPr>
          <w:rFonts w:hint="eastAsia" w:ascii="仿宋_GB2312" w:eastAsia="仿宋_GB2312"/>
          <w:sz w:val="32"/>
          <w:szCs w:val="32"/>
        </w:rPr>
        <w:t>附件：滕州市2018年雨季造林任务分解表</w:t>
      </w:r>
    </w:p>
    <w:p>
      <w:pPr>
        <w:ind w:left="1598" w:leftChars="304" w:hanging="960" w:hangingChars="300"/>
        <w:rPr>
          <w:rFonts w:ascii="仿宋_GB2312" w:eastAsia="仿宋_GB2312"/>
          <w:sz w:val="32"/>
          <w:szCs w:val="32"/>
        </w:rPr>
      </w:pPr>
    </w:p>
    <w:p>
      <w:pPr>
        <w:ind w:left="1598" w:leftChars="304" w:hanging="960" w:hangingChars="300"/>
        <w:rPr>
          <w:rFonts w:ascii="仿宋_GB2312" w:eastAsia="仿宋_GB2312"/>
          <w:sz w:val="32"/>
          <w:szCs w:val="32"/>
        </w:rPr>
      </w:pPr>
    </w:p>
    <w:p>
      <w:pPr>
        <w:widowControl/>
        <w:rPr>
          <w:rFonts w:ascii="仿宋_GB2312" w:eastAsia="仿宋_GB2312"/>
          <w:sz w:val="32"/>
          <w:szCs w:val="32"/>
        </w:rPr>
      </w:pPr>
    </w:p>
    <w:p>
      <w:pPr>
        <w:widowControl/>
        <w:rPr>
          <w:rFonts w:ascii="仿宋_GB2312" w:eastAsia="仿宋_GB2312"/>
          <w:sz w:val="32"/>
          <w:szCs w:val="32"/>
        </w:rPr>
      </w:pPr>
    </w:p>
    <w:p>
      <w:pPr>
        <w:widowControl/>
        <w:rPr>
          <w:rFonts w:ascii="仿宋_GB2312" w:eastAsia="仿宋_GB2312"/>
          <w:sz w:val="32"/>
          <w:szCs w:val="32"/>
        </w:rPr>
      </w:pPr>
    </w:p>
    <w:p>
      <w:pPr>
        <w:widowControl/>
        <w:rPr>
          <w:rFonts w:ascii="仿宋_GB2312" w:eastAsia="仿宋_GB2312"/>
          <w:sz w:val="32"/>
          <w:szCs w:val="32"/>
        </w:rPr>
      </w:pPr>
    </w:p>
    <w:p>
      <w:pPr>
        <w:widowControl/>
        <w:rPr>
          <w:rFonts w:ascii="仿宋_GB2312" w:eastAsia="仿宋_GB2312"/>
          <w:sz w:val="32"/>
          <w:szCs w:val="32"/>
        </w:rPr>
      </w:pPr>
    </w:p>
    <w:p>
      <w:pPr>
        <w:widowControl/>
        <w:rPr>
          <w:rFonts w:ascii="仿宋_GB2312" w:eastAsia="仿宋_GB2312"/>
          <w:sz w:val="32"/>
          <w:szCs w:val="32"/>
        </w:rPr>
      </w:pPr>
    </w:p>
    <w:p>
      <w:pPr>
        <w:widowControl/>
        <w:rPr>
          <w:rFonts w:ascii="仿宋_GB2312" w:eastAsia="仿宋_GB2312"/>
          <w:sz w:val="32"/>
          <w:szCs w:val="32"/>
        </w:rPr>
      </w:pPr>
    </w:p>
    <w:p>
      <w:pPr>
        <w:widowControl/>
        <w:rPr>
          <w:rFonts w:ascii="仿宋_GB2312" w:eastAsia="仿宋_GB2312"/>
          <w:sz w:val="32"/>
          <w:szCs w:val="32"/>
        </w:rPr>
      </w:pPr>
    </w:p>
    <w:p>
      <w:pPr>
        <w:widowControl/>
        <w:rPr>
          <w:rFonts w:ascii="仿宋_GB2312" w:eastAsia="仿宋_GB2312"/>
          <w:sz w:val="32"/>
          <w:szCs w:val="32"/>
        </w:rPr>
      </w:pPr>
    </w:p>
    <w:p>
      <w:pPr>
        <w:widowControl/>
        <w:rPr>
          <w:rFonts w:ascii="仿宋_GB2312" w:eastAsia="仿宋_GB2312"/>
          <w:sz w:val="32"/>
          <w:szCs w:val="32"/>
        </w:rPr>
      </w:pPr>
    </w:p>
    <w:p>
      <w:pPr>
        <w:widowControl/>
        <w:rPr>
          <w:rFonts w:ascii="仿宋_GB2312" w:eastAsia="仿宋_GB2312"/>
          <w:sz w:val="32"/>
          <w:szCs w:val="32"/>
        </w:rPr>
      </w:pPr>
    </w:p>
    <w:p>
      <w:pPr>
        <w:widowControl/>
        <w:rPr>
          <w:rFonts w:ascii="仿宋_GB2312" w:eastAsia="仿宋_GB2312"/>
          <w:sz w:val="32"/>
          <w:szCs w:val="32"/>
        </w:rPr>
      </w:pPr>
    </w:p>
    <w:p>
      <w:pPr>
        <w:widowControl/>
        <w:rPr>
          <w:rFonts w:ascii="黑体" w:hAnsi="黑体" w:eastAsia="黑体" w:cs="宋体"/>
          <w:color w:val="000000"/>
          <w:kern w:val="0"/>
          <w:sz w:val="32"/>
          <w:szCs w:val="32"/>
        </w:rPr>
      </w:pPr>
      <w:r>
        <w:rPr>
          <w:rFonts w:hint="eastAsia" w:ascii="黑体" w:hAnsi="黑体" w:eastAsia="黑体" w:cs="宋体"/>
          <w:color w:val="000000"/>
          <w:kern w:val="0"/>
          <w:sz w:val="32"/>
          <w:szCs w:val="32"/>
        </w:rPr>
        <w:t>附件</w:t>
      </w:r>
    </w:p>
    <w:tbl>
      <w:tblPr>
        <w:tblStyle w:val="6"/>
        <w:tblW w:w="8920" w:type="dxa"/>
        <w:tblInd w:w="0" w:type="dxa"/>
        <w:tblLayout w:type="fixed"/>
        <w:tblCellMar>
          <w:top w:w="15" w:type="dxa"/>
          <w:left w:w="15" w:type="dxa"/>
          <w:bottom w:w="15" w:type="dxa"/>
          <w:right w:w="15" w:type="dxa"/>
        </w:tblCellMar>
      </w:tblPr>
      <w:tblGrid>
        <w:gridCol w:w="1267"/>
        <w:gridCol w:w="1391"/>
        <w:gridCol w:w="785"/>
        <w:gridCol w:w="946"/>
        <w:gridCol w:w="1623"/>
        <w:gridCol w:w="1142"/>
        <w:gridCol w:w="1766"/>
      </w:tblGrid>
      <w:tr>
        <w:tblPrEx>
          <w:tblLayout w:type="fixed"/>
          <w:tblCellMar>
            <w:top w:w="15" w:type="dxa"/>
            <w:left w:w="15" w:type="dxa"/>
            <w:bottom w:w="15" w:type="dxa"/>
            <w:right w:w="15" w:type="dxa"/>
          </w:tblCellMar>
        </w:tblPrEx>
        <w:trPr>
          <w:trHeight w:val="666" w:hRule="atLeast"/>
          <w:tblHeader/>
        </w:trPr>
        <w:tc>
          <w:tcPr>
            <w:tcW w:w="8920" w:type="dxa"/>
            <w:gridSpan w:val="7"/>
            <w:shd w:val="clear" w:color="auto" w:fill="auto"/>
            <w:vAlign w:val="center"/>
          </w:tcPr>
          <w:p>
            <w:pPr>
              <w:widowControl/>
              <w:jc w:val="center"/>
              <w:textAlignment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kern w:val="0"/>
                <w:sz w:val="40"/>
                <w:szCs w:val="40"/>
                <w:lang w:bidi="ar"/>
              </w:rPr>
              <w:t>滕州市2018年雨季造林任务分解表</w:t>
            </w:r>
          </w:p>
        </w:tc>
      </w:tr>
      <w:tr>
        <w:tblPrEx>
          <w:tblLayout w:type="fixed"/>
          <w:tblCellMar>
            <w:top w:w="15" w:type="dxa"/>
            <w:left w:w="15" w:type="dxa"/>
            <w:bottom w:w="15" w:type="dxa"/>
            <w:right w:w="15" w:type="dxa"/>
          </w:tblCellMar>
        </w:tblPrEx>
        <w:trPr>
          <w:trHeight w:val="358" w:hRule="atLeast"/>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小班</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林种</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树种</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面积</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8"/>
                <w:szCs w:val="28"/>
              </w:rPr>
            </w:pPr>
            <w:r>
              <w:rPr>
                <w:rFonts w:hint="eastAsia" w:ascii="宋体" w:hAnsi="宋体" w:cs="宋体"/>
                <w:color w:val="000000"/>
                <w:kern w:val="0"/>
                <w:sz w:val="28"/>
                <w:szCs w:val="28"/>
                <w:lang w:bidi="ar"/>
              </w:rPr>
              <w:t>备注</w:t>
            </w:r>
          </w:p>
        </w:tc>
      </w:tr>
      <w:tr>
        <w:tblPrEx>
          <w:tblLayout w:type="fixed"/>
          <w:tblCellMar>
            <w:top w:w="15" w:type="dxa"/>
            <w:left w:w="15" w:type="dxa"/>
            <w:bottom w:w="15" w:type="dxa"/>
            <w:right w:w="15" w:type="dxa"/>
          </w:tblCellMar>
        </w:tblPrEx>
        <w:trPr>
          <w:trHeight w:val="392" w:hRule="atLeast"/>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合计</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kern w:val="0"/>
                <w:sz w:val="22"/>
                <w:szCs w:val="22"/>
                <w:lang w:bidi="ar"/>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kern w:val="0"/>
                <w:sz w:val="22"/>
                <w:szCs w:val="22"/>
                <w:lang w:bidi="ar"/>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kern w:val="0"/>
                <w:sz w:val="22"/>
                <w:szCs w:val="22"/>
                <w:lang w:bidi="ar"/>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kern w:val="0"/>
                <w:sz w:val="22"/>
                <w:szCs w:val="22"/>
                <w:lang w:bidi="ar"/>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11404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kern w:val="0"/>
                <w:sz w:val="22"/>
                <w:szCs w:val="22"/>
                <w:lang w:bidi="ar"/>
              </w:rPr>
            </w:pPr>
          </w:p>
        </w:tc>
      </w:tr>
      <w:tr>
        <w:tblPrEx>
          <w:tblLayout w:type="fixed"/>
          <w:tblCellMar>
            <w:top w:w="15" w:type="dxa"/>
            <w:left w:w="15" w:type="dxa"/>
            <w:bottom w:w="15" w:type="dxa"/>
            <w:right w:w="15" w:type="dxa"/>
          </w:tblCellMar>
        </w:tblPrEx>
        <w:trPr>
          <w:trHeight w:val="358" w:hRule="atLeast"/>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滨湖镇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小计</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1684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滨湖镇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韩楼</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滨湖镇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卢庄</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滨湖镇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向阳</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196</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滨湖镇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向阳</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222</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滨湖镇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北双井</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滨湖镇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东古</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75</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滨湖镇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朱寨</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滨湖镇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朱寨</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35</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滨湖镇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朱寨</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135</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滨湖镇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前纸房</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滨湖镇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前纸房</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经济林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桃</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滨湖镇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红荷集团</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木槿、紫薇</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滨湖镇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红荷集团</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海棠、木槿</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170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rHeight w:val="358" w:hRule="atLeast"/>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小计</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2247</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郭沟</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经济林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元宝枫</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343</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郭沟</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经济林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元宝枫</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157</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郭沟</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205</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郭沟</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264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黄连山</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99</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龙山头村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132</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郭沟</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经济林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核桃</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2016长防林补植</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郭沟</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经济林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核桃</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2016长防林补植</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郭沟</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侧、黄</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2016长防林补植</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黄连山</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经济林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花椒</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66</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2016长防林补植</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黄连山</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经济林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花椒</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2016长防林补植</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老君院</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2016长防林补植</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老君院</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116</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2016长防林补植</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老君院</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2016长防林补植</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沙庄</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2016长防林补植</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沙庄</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49</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2016长防林补植</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沙庄</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2016长防林补植</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葫芦套</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侧柏、花椒</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葫芦套</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侧柏、花椒</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72</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葫芦套</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侧柏、花椒</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葫芦套</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侧柏、花椒</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沙庄</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105</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沙庄</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146</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柴胡店镇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沙庄</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85</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rHeight w:val="358" w:hRule="atLeast"/>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大坞镇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小计</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600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大坞镇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池头集</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经济林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花椒</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大坞镇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池头集</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经济林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花椒</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大坞镇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雷山</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大坞镇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韩庄</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经济林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桃</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大坞镇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任山</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58" w:hRule="atLeast"/>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东郭镇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小计</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540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东郭镇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石羊山</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经济林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核桃花椒</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2016长防林补植</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东郭镇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北马庄</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麻栎侧柏杏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东郭镇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丁庄</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麻栎侧柏杏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202</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东郭镇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石羊山</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麻栎侧柏杏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93</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东郭镇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王李庄</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麻栎侧柏杏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65</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rHeight w:val="358" w:hRule="atLeast"/>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东沙河镇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小计</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2092</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磨坑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磨坑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向阳山</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向阳山</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56</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步云庄</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凤凰湖</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梧桐法桐等</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凤凰湖</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梧桐法桐等</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137</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凤凰湖</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梧桐法桐等</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203</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郭河</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黄山栾等</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73</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郭河</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黄山栾等</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郭河</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黄山栾等</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101</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郭河</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黄山栾等</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郭河</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黄山栾等</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郭河</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黄山栾等</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郭河</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黄山栾等</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荆河</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水杉垂柳等</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荆河</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水杉垂柳等</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荆河</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水杉垂柳等</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荆河</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水杉垂柳等</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83</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荆河</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水杉垂柳等</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小洪河</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杨树柳树等</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109</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小洪河</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杨树柳树等</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87</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rHeight w:val="358" w:hRule="atLeast"/>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官桥镇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小计</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320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官桥镇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北韩</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官桥镇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北韩</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192</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官桥镇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后善</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23</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官桥镇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前善</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41</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rHeight w:val="358" w:hRule="atLeast"/>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界河镇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小计</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220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界河镇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中西曹</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补植</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界河镇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于园</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补植</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界河镇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后枣</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补植</w:t>
            </w:r>
          </w:p>
        </w:tc>
      </w:tr>
      <w:tr>
        <w:tblPrEx>
          <w:tblLayout w:type="fixed"/>
          <w:tblCellMar>
            <w:top w:w="15" w:type="dxa"/>
            <w:left w:w="15" w:type="dxa"/>
            <w:bottom w:w="15" w:type="dxa"/>
            <w:right w:w="15" w:type="dxa"/>
          </w:tblCellMar>
        </w:tblPrEx>
        <w:trPr>
          <w:trHeight w:val="358" w:hRule="atLeast"/>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龙阳镇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小计</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300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龙阳镇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卧龙</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黑松</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龙阳镇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张山口</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黑松</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龙阳镇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谷堆石</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黑松</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58" w:hRule="atLeast"/>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小计</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1585</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谷山</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谷山</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后安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后安</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西峭</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43</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西峭</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亚庄</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亚庄</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核桃花椒</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169</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亚庄</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271</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白塔</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白塔</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47</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白塔</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45</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独后</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独后</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52</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独前</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独前</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独前</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后连</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经济林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花椒、皂角</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粮峪</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粮峪</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粮峪</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粮峪</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61</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粮峪</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37</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卓庄</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42</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卓庄</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经济林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核桃</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39</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rHeight w:val="358" w:hRule="atLeast"/>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南沙河镇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小计</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150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河汇</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93</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南沙河镇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东魏村</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侧柏、花椒</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58" w:hRule="atLeast"/>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羊庄镇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小计</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1616</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羊庄镇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南于</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69</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羊庄镇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陶山西</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147</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羊庄镇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东辛庄</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羊庄镇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范东</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189</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羊庄镇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范东</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133</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羊庄镇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范东</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284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羊庄镇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范西</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275</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羊庄镇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范西</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羊庄镇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寒山前</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208</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羊庄镇</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陶山东</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134</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2017长防林</w:t>
            </w:r>
          </w:p>
        </w:tc>
      </w:tr>
      <w:tr>
        <w:tblPrEx>
          <w:tblLayout w:type="fixed"/>
          <w:tblCellMar>
            <w:top w:w="15" w:type="dxa"/>
            <w:left w:w="15" w:type="dxa"/>
            <w:bottom w:w="15" w:type="dxa"/>
            <w:right w:w="15" w:type="dxa"/>
          </w:tblCellMar>
        </w:tblPrEx>
        <w:trPr>
          <w:trHeight w:val="358" w:hRule="atLeast"/>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木石林场</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小计</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color w:val="000000"/>
                <w:sz w:val="22"/>
                <w:szCs w:val="22"/>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22"/>
                <w:szCs w:val="22"/>
              </w:rPr>
            </w:pPr>
            <w:r>
              <w:rPr>
                <w:rFonts w:hint="eastAsia" w:ascii="宋体" w:hAnsi="宋体" w:cs="宋体"/>
                <w:b/>
                <w:color w:val="000000"/>
                <w:kern w:val="0"/>
                <w:sz w:val="22"/>
                <w:szCs w:val="22"/>
                <w:lang w:bidi="ar"/>
              </w:rPr>
              <w:t>50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szCs w:val="22"/>
              </w:rPr>
            </w:pPr>
          </w:p>
        </w:tc>
      </w:tr>
      <w:tr>
        <w:tblPrEx>
          <w:tblLayout w:type="fixed"/>
          <w:tblCellMar>
            <w:top w:w="15" w:type="dxa"/>
            <w:left w:w="15" w:type="dxa"/>
            <w:bottom w:w="15" w:type="dxa"/>
            <w:right w:w="15" w:type="dxa"/>
          </w:tblCellMar>
        </w:tblPrEx>
        <w:trPr>
          <w:trHeight w:val="368" w:hRule="atLeast"/>
          <w:tblHeader/>
        </w:trPr>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木石林场</w:t>
            </w:r>
          </w:p>
        </w:tc>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三林班</w:t>
            </w:r>
          </w:p>
        </w:tc>
        <w:tc>
          <w:tcPr>
            <w:tcW w:w="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防护林</w:t>
            </w:r>
          </w:p>
        </w:tc>
        <w:tc>
          <w:tcPr>
            <w:tcW w:w="16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侧柏黄栌</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2018长防林</w:t>
            </w:r>
          </w:p>
        </w:tc>
      </w:tr>
    </w:tbl>
    <w:p>
      <w:pPr>
        <w:widowControl/>
      </w:pPr>
    </w:p>
    <w:p>
      <w:pPr>
        <w:widowControl/>
      </w:pPr>
    </w:p>
    <w:p>
      <w:pPr>
        <w:widowControl/>
      </w:pPr>
    </w:p>
    <w:p>
      <w:pPr>
        <w:widowControl/>
      </w:pPr>
    </w:p>
    <w:p>
      <w:pPr>
        <w:widowControl/>
      </w:pPr>
    </w:p>
    <w:p>
      <w:pPr>
        <w:widowControl/>
      </w:pPr>
    </w:p>
    <w:p>
      <w:pPr>
        <w:widowControl/>
      </w:pPr>
    </w:p>
    <w:p>
      <w:pPr>
        <w:widowControl/>
        <w:spacing w:line="200" w:lineRule="exact"/>
        <w:rPr>
          <w:rFonts w:ascii="黑体" w:eastAsia="黑体"/>
          <w:color w:val="000000"/>
          <w:sz w:val="28"/>
          <w:szCs w:val="21"/>
        </w:rPr>
      </w:pPr>
    </w:p>
    <w:p>
      <w:pPr>
        <w:widowControl/>
        <w:spacing w:line="200" w:lineRule="exact"/>
        <w:rPr>
          <w:rFonts w:ascii="黑体" w:eastAsia="黑体"/>
          <w:color w:val="000000"/>
          <w:sz w:val="28"/>
          <w:szCs w:val="21"/>
        </w:rPr>
      </w:pPr>
      <w:r>
        <w:rPr>
          <w:rFonts w:hint="eastAsia"/>
          <w:szCs w:val="21"/>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40640</wp:posOffset>
                </wp:positionV>
                <wp:extent cx="5400040" cy="25400"/>
                <wp:effectExtent l="9525" t="12065" r="10160" b="10160"/>
                <wp:wrapNone/>
                <wp:docPr id="6" name="直线 2"/>
                <wp:cNvGraphicFramePr/>
                <a:graphic xmlns:a="http://schemas.openxmlformats.org/drawingml/2006/main">
                  <a:graphicData uri="http://schemas.microsoft.com/office/word/2010/wordprocessingShape">
                    <wps:wsp>
                      <wps:cNvCnPr>
                        <a:cxnSpLocks noChangeShapeType="1"/>
                      </wps:cNvCnPr>
                      <wps:spPr bwMode="auto">
                        <a:xfrm>
                          <a:off x="0" y="0"/>
                          <a:ext cx="5400040" cy="25400"/>
                        </a:xfrm>
                        <a:prstGeom prst="line">
                          <a:avLst/>
                        </a:prstGeom>
                        <a:noFill/>
                        <a:ln w="19050">
                          <a:solidFill>
                            <a:srgbClr val="000000"/>
                          </a:solidFill>
                          <a:round/>
                        </a:ln>
                      </wps:spPr>
                      <wps:bodyPr/>
                    </wps:wsp>
                  </a:graphicData>
                </a:graphic>
              </wp:anchor>
            </w:drawing>
          </mc:Choice>
          <mc:Fallback>
            <w:pict>
              <v:line id="直线 2" o:spid="_x0000_s1026" o:spt="20" style="position:absolute;left:0pt;margin-left:0pt;margin-top:3.2pt;height:2pt;width:425.2pt;z-index:251660288;mso-width-relative:page;mso-height-relative:page;" filled="f" stroked="t" coordsize="21600,21600" o:gfxdata="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56cOc0gAAAAUBAAAPAAAAAAAAAAEAIAAAACIAAABkcnMvZG93bnJldi54bWxQSwECFAAU&#10;AAAACACHTuJA/iRLVb4BAABYAwAADgAAAAAAAAABACAAAAAhAQAAZHJzL2Uyb0RvYy54bWxQSwUG&#10;AAAAAAYABgBZAQAAUQUAAAAA&#10;">
                <v:fill on="f" focussize="0,0"/>
                <v:stroke weight="1.5pt" color="#000000" joinstyle="round"/>
                <v:imagedata o:title=""/>
                <o:lock v:ext="edit" aspectratio="f"/>
              </v:line>
            </w:pict>
          </mc:Fallback>
        </mc:AlternateContent>
      </w:r>
    </w:p>
    <w:p>
      <w:pPr>
        <w:widowControl/>
        <w:spacing w:line="340" w:lineRule="exact"/>
        <w:ind w:left="1124" w:hanging="1120" w:hangingChars="400"/>
        <w:rPr>
          <w:rFonts w:ascii="仿宋_GB2312" w:eastAsia="仿宋_GB2312"/>
          <w:color w:val="000000"/>
          <w:sz w:val="28"/>
          <w:szCs w:val="28"/>
        </w:rPr>
      </w:pPr>
      <w:r>
        <w:rPr>
          <w:rFonts w:hint="eastAsia" w:ascii="仿宋_GB2312" w:eastAsia="仿宋_GB2312"/>
          <w:b/>
          <w:color w:val="000000"/>
          <w:sz w:val="28"/>
          <w:szCs w:val="28"/>
        </w:rPr>
        <w:t>抄  送：</w:t>
      </w:r>
      <w:r>
        <w:rPr>
          <w:rFonts w:hint="eastAsia" w:ascii="仿宋_GB2312" w:eastAsia="仿宋_GB2312"/>
          <w:color w:val="000000"/>
          <w:sz w:val="28"/>
          <w:szCs w:val="28"/>
        </w:rPr>
        <w:t>市委办公室，市人大常委会办公室，市政协办公室，市纪委办公室，市法院，市检察院，市人武部。</w:t>
      </w:r>
    </w:p>
    <w:p>
      <w:pPr>
        <w:widowControl/>
        <w:spacing w:line="240" w:lineRule="exact"/>
        <w:ind w:right="29" w:rightChars="14" w:firstLine="560"/>
        <w:rPr>
          <w:rFonts w:ascii="仿宋_GB2312" w:eastAsia="仿宋_GB2312"/>
          <w:color w:val="000000"/>
          <w:sz w:val="28"/>
          <w:szCs w:val="28"/>
        </w:rPr>
      </w:pPr>
      <w:r>
        <w:rPr>
          <w:rFonts w:hint="eastAsia"/>
          <w:szCs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76200</wp:posOffset>
                </wp:positionV>
                <wp:extent cx="5400040" cy="0"/>
                <wp:effectExtent l="9525" t="9525" r="10160" b="9525"/>
                <wp:wrapNone/>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6pt;height:0pt;width:425.2pt;z-index:251661312;mso-width-relative:page;mso-height-relative:page;" filled="f" stroked="t" coordsize="21600,21600" o:gfxdata="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IcEHUAAAABgEAAA8AAAAAAAAAAQAgAAAAIgAAAGRycy9kb3ducmV2LnhtbFBLAQIUABQA&#10;AAAIAIdO4kASfbJJuwEAAFMDAAAOAAAAAAAAAAEAIAAAACMBAABkcnMvZTJvRG9jLnhtbFBLBQYA&#10;AAAABgAGAFkBAABQBQAAAAA=&#10;">
                <v:fill on="f" focussize="0,0"/>
                <v:stroke color="#000000" joinstyle="round"/>
                <v:imagedata o:title=""/>
                <o:lock v:ext="edit" aspectratio="f"/>
              </v:line>
            </w:pict>
          </mc:Fallback>
        </mc:AlternateContent>
      </w:r>
    </w:p>
    <w:p>
      <w:pPr>
        <w:widowControl/>
        <w:spacing w:line="340" w:lineRule="exact"/>
        <w:rPr>
          <w:rFonts w:ascii="仿宋_GB2312" w:eastAsia="仿宋_GB2312"/>
          <w:sz w:val="32"/>
          <w:szCs w:val="32"/>
        </w:rPr>
      </w:pPr>
      <w:r>
        <w:rPr>
          <w:rFonts w:hint="eastAsia"/>
          <w:szCs w:val="21"/>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251460</wp:posOffset>
                </wp:positionV>
                <wp:extent cx="5400040" cy="7620"/>
                <wp:effectExtent l="9525" t="13335" r="10160" b="17145"/>
                <wp:wrapNone/>
                <wp:docPr id="4" name="直线 4"/>
                <wp:cNvGraphicFramePr/>
                <a:graphic xmlns:a="http://schemas.openxmlformats.org/drawingml/2006/main">
                  <a:graphicData uri="http://schemas.microsoft.com/office/word/2010/wordprocessingShape">
                    <wps:wsp>
                      <wps:cNvCnPr>
                        <a:cxnSpLocks noChangeShapeType="1"/>
                      </wps:cNvCnPr>
                      <wps:spPr bwMode="auto">
                        <a:xfrm>
                          <a:off x="0" y="0"/>
                          <a:ext cx="5400040" cy="7620"/>
                        </a:xfrm>
                        <a:prstGeom prst="line">
                          <a:avLst/>
                        </a:prstGeom>
                        <a:noFill/>
                        <a:ln w="19050">
                          <a:solidFill>
                            <a:srgbClr val="000000"/>
                          </a:solidFill>
                          <a:round/>
                        </a:ln>
                      </wps:spPr>
                      <wps:bodyPr/>
                    </wps:wsp>
                  </a:graphicData>
                </a:graphic>
              </wp:anchor>
            </w:drawing>
          </mc:Choice>
          <mc:Fallback>
            <w:pict>
              <v:line id="直线 4" o:spid="_x0000_s1026" o:spt="20" style="position:absolute;left:0pt;margin-left:0pt;margin-top:19.8pt;height:0.6pt;width:425.2pt;z-index:251662336;mso-width-relative:page;mso-height-relative:page;" filled="f" stroked="t" coordsize="21600,21600" o:gfxdata="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B0CAKNUAAAAGAQAADwAAAAAAAAABACAAAAAiAAAAZHJzL2Rvd25yZXYueG1sUEsB&#10;AhQAFAAAAAgAh07iQMnQDam/AQAAVwMAAA4AAAAAAAAAAQAgAAAAJAEAAGRycy9lMm9Eb2MueG1s&#10;UEsFBgAAAAAGAAYAWQEAAFUFAAAAAA==&#10;">
                <v:fill on="f" focussize="0,0"/>
                <v:stroke weight="1.5pt" color="#000000" joinstyle="round"/>
                <v:imagedata o:title=""/>
                <o:lock v:ext="edit" aspectratio="f"/>
              </v:line>
            </w:pict>
          </mc:Fallback>
        </mc:AlternateContent>
      </w:r>
      <w:r>
        <w:rPr>
          <w:rFonts w:hint="eastAsia" w:ascii="仿宋_GB2312" w:eastAsia="仿宋_GB2312"/>
          <w:color w:val="000000"/>
          <w:sz w:val="28"/>
          <w:szCs w:val="28"/>
        </w:rPr>
        <w:t>滕州市人民政府办公室                   2018年7月1日印发</w:t>
      </w:r>
    </w:p>
    <w:sectPr>
      <w:pgSz w:w="11906" w:h="16838"/>
      <w:pgMar w:top="1701" w:right="1418" w:bottom="1701" w:left="1559" w:header="851" w:footer="1304"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6280905"/>
      <w:docPartObj>
        <w:docPartGallery w:val="AutoText"/>
      </w:docPartObj>
    </w:sdtPr>
    <w:sdtEndPr>
      <w:rPr>
        <w:rFonts w:ascii="宋体" w:hAnsi="宋体"/>
        <w:sz w:val="24"/>
        <w:szCs w:val="24"/>
      </w:rPr>
    </w:sdtEndPr>
    <w:sdtContent>
      <w:p>
        <w:pPr>
          <w:pStyle w:val="2"/>
          <w:jc w:val="right"/>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9 -</w:t>
        </w:r>
        <w:r>
          <w:rPr>
            <w:rFonts w:ascii="宋体" w:hAnsi="宋体"/>
            <w:sz w:val="24"/>
            <w:szCs w:val="24"/>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4"/>
        <w:szCs w:val="24"/>
      </w:rPr>
    </w:pP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10 -</w:t>
    </w:r>
    <w:r>
      <w:rPr>
        <w:rFonts w:ascii="宋体" w:hAnsi="宋体"/>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52BFC"/>
    <w:rsid w:val="000E529A"/>
    <w:rsid w:val="00336E2F"/>
    <w:rsid w:val="0036203E"/>
    <w:rsid w:val="006927AF"/>
    <w:rsid w:val="006F17C8"/>
    <w:rsid w:val="006F1E71"/>
    <w:rsid w:val="00891530"/>
    <w:rsid w:val="008C2727"/>
    <w:rsid w:val="008C780B"/>
    <w:rsid w:val="00B564A1"/>
    <w:rsid w:val="00C171A8"/>
    <w:rsid w:val="00C90471"/>
    <w:rsid w:val="00EE1827"/>
    <w:rsid w:val="0B625334"/>
    <w:rsid w:val="43E52BFC"/>
    <w:rsid w:val="53694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10</Pages>
  <Words>954</Words>
  <Characters>5442</Characters>
  <Lines>45</Lines>
  <Paragraphs>12</Paragraphs>
  <TotalTime>0</TotalTime>
  <ScaleCrop>false</ScaleCrop>
  <LinksUpToDate>false</LinksUpToDate>
  <CharactersWithSpaces>6384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2018-05-28T07:09:00Z</dcterms:created>
  <dc:creator>Administrator</dc:creator>
  <cp:lastModifiedBy>lenovo</cp:lastModifiedBy>
  <cp:lastPrinted>2018-06-19T01:28:00Z</cp:lastPrinted>
  <dcterms:modified xsi:type="dcterms:W3CDTF">2018-07-05T08:17:56Z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